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58" w:rsidRPr="00741758" w:rsidRDefault="00741758" w:rsidP="00741758">
      <w:pPr>
        <w:shd w:val="clear" w:color="auto" w:fill="FFFFFF"/>
        <w:spacing w:after="0" w:line="360" w:lineRule="auto"/>
        <w:jc w:val="both"/>
        <w:outlineLvl w:val="1"/>
        <w:rPr>
          <w:rFonts w:ascii="Times New Roman" w:eastAsia="Times New Roman" w:hAnsi="Times New Roman" w:cs="Times New Roman"/>
          <w:color w:val="FF0000"/>
          <w:sz w:val="36"/>
          <w:szCs w:val="36"/>
        </w:rPr>
      </w:pPr>
      <w:r w:rsidRPr="00741758">
        <w:rPr>
          <w:rFonts w:ascii="Times New Roman" w:eastAsia="Times New Roman" w:hAnsi="Times New Roman" w:cs="Times New Roman"/>
          <w:color w:val="FF0000"/>
          <w:sz w:val="36"/>
          <w:szCs w:val="36"/>
        </w:rPr>
        <w:t>ДОПУСК К ГИА-11</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proofErr w:type="gramStart"/>
      <w:r w:rsidRPr="00741758">
        <w:rPr>
          <w:rFonts w:ascii="Times New Roman" w:eastAsia="Times New Roman" w:hAnsi="Times New Roman" w:cs="Times New Roman"/>
          <w:color w:val="1A1A1A"/>
          <w:sz w:val="24"/>
          <w:szCs w:val="24"/>
        </w:rP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p>
    <w:p w:rsidR="00741758" w:rsidRPr="00741758" w:rsidRDefault="00741758" w:rsidP="00741758">
      <w:pPr>
        <w:pStyle w:val="2"/>
        <w:shd w:val="clear" w:color="auto" w:fill="FFFFFF"/>
        <w:spacing w:before="0" w:beforeAutospacing="0" w:after="0" w:afterAutospacing="0" w:line="360" w:lineRule="auto"/>
        <w:jc w:val="both"/>
        <w:rPr>
          <w:b w:val="0"/>
          <w:bCs w:val="0"/>
          <w:color w:val="FF0000"/>
        </w:rPr>
      </w:pPr>
      <w:r w:rsidRPr="00741758">
        <w:rPr>
          <w:b w:val="0"/>
          <w:bCs w:val="0"/>
          <w:color w:val="FF0000"/>
        </w:rPr>
        <w:t>СРОКИ ПРОВЕДЕНИЯ ГИА-11</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Для проведения ГИА-11 на территории Российской Федерации и за ее пределами устанавливаются сроки и продолжительность проведения экзаменов по каждому учебному предмету (расписание ГИА-11). 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В основном периоде проведения ЕГЭ также предусматриваются дополнительные дни для участников ГИА, указанных в пункте 97(1) Порядка.</w:t>
      </w:r>
    </w:p>
    <w:p w:rsidR="00741758" w:rsidRPr="00741758" w:rsidRDefault="00741758" w:rsidP="00741758">
      <w:pPr>
        <w:pStyle w:val="a3"/>
        <w:shd w:val="clear" w:color="auto" w:fill="FFFFFF"/>
        <w:spacing w:before="0" w:beforeAutospacing="0" w:after="0" w:afterAutospacing="0" w:line="360" w:lineRule="auto"/>
        <w:jc w:val="both"/>
        <w:rPr>
          <w:color w:val="1A1A1A"/>
          <w:sz w:val="18"/>
          <w:szCs w:val="18"/>
        </w:rPr>
      </w:pPr>
    </w:p>
    <w:p w:rsidR="00741758" w:rsidRPr="00741758" w:rsidRDefault="00741758" w:rsidP="00741758">
      <w:pPr>
        <w:pStyle w:val="2"/>
        <w:shd w:val="clear" w:color="auto" w:fill="FFFFFF"/>
        <w:spacing w:before="0" w:beforeAutospacing="0" w:after="0" w:afterAutospacing="0" w:line="360" w:lineRule="auto"/>
        <w:jc w:val="both"/>
        <w:rPr>
          <w:b w:val="0"/>
          <w:bCs w:val="0"/>
          <w:color w:val="FF0000"/>
        </w:rPr>
      </w:pPr>
      <w:r w:rsidRPr="00741758">
        <w:rPr>
          <w:b w:val="0"/>
          <w:bCs w:val="0"/>
          <w:color w:val="FF0000"/>
        </w:rPr>
        <w:t>ПОРЯДОК ПОДАЧИ ЗАЯВЛЕНИЯ НА УЧАСТИЕ В ГИА-11</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Для участия в ГИА-11 необходимо подать заявление с указанием выбранных учебных предметов, формой (формами) ГИА-11, сроков участия в ГИА-11 </w:t>
      </w:r>
      <w:r w:rsidRPr="00741758">
        <w:rPr>
          <w:rStyle w:val="a4"/>
          <w:color w:val="1A1A1A"/>
          <w:spacing w:val="6"/>
        </w:rPr>
        <w:t>до 1 февраля включительно</w:t>
      </w:r>
      <w:r w:rsidRPr="00741758">
        <w:rPr>
          <w:color w:val="1A1A1A"/>
        </w:rPr>
        <w:t>:</w:t>
      </w:r>
    </w:p>
    <w:p w:rsidR="00741758" w:rsidRPr="00741758" w:rsidRDefault="00741758" w:rsidP="00741758">
      <w:pPr>
        <w:pStyle w:val="a3"/>
        <w:shd w:val="clear" w:color="auto" w:fill="FFFFFF"/>
        <w:spacing w:before="0" w:beforeAutospacing="0" w:after="0" w:afterAutospacing="0" w:line="360" w:lineRule="auto"/>
        <w:jc w:val="both"/>
        <w:rPr>
          <w:color w:val="1A1A1A"/>
        </w:rPr>
      </w:pPr>
      <w:proofErr w:type="gramStart"/>
      <w:r w:rsidRPr="00741758">
        <w:rPr>
          <w:color w:val="1A1A1A"/>
        </w:rPr>
        <w:t>обучающимся</w:t>
      </w:r>
      <w:proofErr w:type="gramEnd"/>
      <w:r w:rsidRPr="00741758">
        <w:rPr>
          <w:color w:val="1A1A1A"/>
        </w:rPr>
        <w:t xml:space="preserve"> – в образовательные организации, в которых обучающиеся осваивают образовательные программы среднего общего образования;</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лицам, проходящим ГИА-11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 в образовательные организации по выбору указанных лиц.</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Заявления подаются участниками ГИА-11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lastRenderedPageBreak/>
        <w:t xml:space="preserve">После 1 февраля заявления об участии в ГИА-11 принимаются по решению государственной экзаменационной комиссии (ГЭК) только при наличии у заявителей уважительных причин (болезни или иных обстоятельств), подтвержденных документально, не </w:t>
      </w:r>
      <w:proofErr w:type="gramStart"/>
      <w:r w:rsidRPr="00741758">
        <w:rPr>
          <w:color w:val="1A1A1A"/>
        </w:rPr>
        <w:t>позднее</w:t>
      </w:r>
      <w:proofErr w:type="gramEnd"/>
      <w:r w:rsidRPr="00741758">
        <w:rPr>
          <w:color w:val="1A1A1A"/>
        </w:rPr>
        <w:t xml:space="preserve"> чем за две недели до начала соответствующего экзамена.</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 xml:space="preserve">Участники ГИА-11 вправе изменить (дополнить) перечень указанных в заявлениях учебных предметов, а также изменить форму ГИА-11 и сроки участия в ГИА-11 при наличии у них уважительных причин (болезни или иных обстоятельств), подтвержденных документально. В этом случае участники ГИА-11 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ГИА-11, сроков участия в ГИА. Указанные заявления подаются не </w:t>
      </w:r>
      <w:proofErr w:type="gramStart"/>
      <w:r w:rsidRPr="00741758">
        <w:rPr>
          <w:color w:val="1A1A1A"/>
        </w:rPr>
        <w:t>позднее</w:t>
      </w:r>
      <w:proofErr w:type="gramEnd"/>
      <w:r w:rsidRPr="00741758">
        <w:rPr>
          <w:color w:val="1A1A1A"/>
        </w:rPr>
        <w:t xml:space="preserve"> чем за две недели до начала соответствующего экзамена.</w:t>
      </w:r>
    </w:p>
    <w:p w:rsidR="00741758" w:rsidRPr="00741758" w:rsidRDefault="00741758" w:rsidP="00741758">
      <w:pPr>
        <w:pStyle w:val="a3"/>
        <w:shd w:val="clear" w:color="auto" w:fill="FFFFFF"/>
        <w:spacing w:before="0" w:beforeAutospacing="0" w:after="0" w:afterAutospacing="0" w:line="360" w:lineRule="auto"/>
        <w:jc w:val="both"/>
        <w:rPr>
          <w:color w:val="1A1A1A"/>
          <w:sz w:val="18"/>
          <w:szCs w:val="18"/>
        </w:rPr>
      </w:pPr>
    </w:p>
    <w:p w:rsidR="00741758" w:rsidRPr="00741758" w:rsidRDefault="00741758" w:rsidP="00741758">
      <w:pPr>
        <w:shd w:val="clear" w:color="auto" w:fill="FFFFFF"/>
        <w:spacing w:after="0" w:line="360" w:lineRule="auto"/>
        <w:jc w:val="both"/>
        <w:outlineLvl w:val="1"/>
        <w:rPr>
          <w:rFonts w:ascii="Times New Roman" w:eastAsia="Times New Roman" w:hAnsi="Times New Roman" w:cs="Times New Roman"/>
          <w:color w:val="FF0000"/>
          <w:sz w:val="36"/>
          <w:szCs w:val="36"/>
        </w:rPr>
      </w:pPr>
      <w:r w:rsidRPr="00741758">
        <w:rPr>
          <w:rFonts w:ascii="Times New Roman" w:eastAsia="Times New Roman" w:hAnsi="Times New Roman" w:cs="Times New Roman"/>
          <w:color w:val="FF0000"/>
          <w:sz w:val="36"/>
          <w:szCs w:val="36"/>
        </w:rPr>
        <w:t>ПРОВЕДЕНИЕ ГИА-11</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Время начала ГИА-11 по всем учебным предметам 10.00 часов по местному времени. Допуск участников ГИА-11 в пункт проведения экзамена (ППЭ) осуществляется с 09.00 по местному времени.</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Для опоздавших участников ГИА-11 время окончания экзамена не продлевается и общий инструктаж не проводится.</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При входе в ППЭ участник ГИА-11 предъявляет документ, удостоверяющий личность. 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Во время экзамена на рабочем столе участника экзамена помимо экзаменационных материалов находятся:</w:t>
      </w:r>
    </w:p>
    <w:p w:rsidR="00741758" w:rsidRPr="00741758" w:rsidRDefault="00741758" w:rsidP="00741758">
      <w:pPr>
        <w:numPr>
          <w:ilvl w:val="0"/>
          <w:numId w:val="1"/>
        </w:numPr>
        <w:shd w:val="clear" w:color="auto" w:fill="FFFFFF"/>
        <w:spacing w:after="0" w:line="360" w:lineRule="auto"/>
        <w:ind w:left="360"/>
        <w:jc w:val="both"/>
        <w:rPr>
          <w:rFonts w:ascii="Times New Roman" w:eastAsia="Times New Roman" w:hAnsi="Times New Roman" w:cs="Times New Roman"/>
          <w:color w:val="1A1A1A"/>
          <w:sz w:val="24"/>
          <w:szCs w:val="24"/>
        </w:rPr>
      </w:pPr>
      <w:proofErr w:type="spellStart"/>
      <w:r w:rsidRPr="00741758">
        <w:rPr>
          <w:rFonts w:ascii="Times New Roman" w:eastAsia="Times New Roman" w:hAnsi="Times New Roman" w:cs="Times New Roman"/>
          <w:color w:val="1A1A1A"/>
          <w:sz w:val="24"/>
          <w:szCs w:val="24"/>
        </w:rPr>
        <w:t>гелевая</w:t>
      </w:r>
      <w:proofErr w:type="spellEnd"/>
      <w:r w:rsidRPr="00741758">
        <w:rPr>
          <w:rFonts w:ascii="Times New Roman" w:eastAsia="Times New Roman" w:hAnsi="Times New Roman" w:cs="Times New Roman"/>
          <w:color w:val="1A1A1A"/>
          <w:sz w:val="24"/>
          <w:szCs w:val="24"/>
        </w:rPr>
        <w:t xml:space="preserve"> или капиллярная ручка с чернилами черного цвета;</w:t>
      </w:r>
    </w:p>
    <w:p w:rsidR="00741758" w:rsidRPr="00741758" w:rsidRDefault="00741758" w:rsidP="00741758">
      <w:pPr>
        <w:numPr>
          <w:ilvl w:val="0"/>
          <w:numId w:val="1"/>
        </w:numPr>
        <w:shd w:val="clear" w:color="auto" w:fill="FFFFFF"/>
        <w:spacing w:after="0" w:line="360" w:lineRule="auto"/>
        <w:ind w:left="360"/>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документ, удостоверяющий личность;</w:t>
      </w:r>
    </w:p>
    <w:p w:rsidR="00741758" w:rsidRPr="00741758" w:rsidRDefault="00741758" w:rsidP="00741758">
      <w:pPr>
        <w:numPr>
          <w:ilvl w:val="0"/>
          <w:numId w:val="1"/>
        </w:numPr>
        <w:shd w:val="clear" w:color="auto" w:fill="FFFFFF"/>
        <w:spacing w:after="0" w:line="360" w:lineRule="auto"/>
        <w:ind w:left="360"/>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средства обучения и воспитания;</w:t>
      </w:r>
    </w:p>
    <w:p w:rsidR="00741758" w:rsidRPr="00741758" w:rsidRDefault="00741758" w:rsidP="00741758">
      <w:pPr>
        <w:numPr>
          <w:ilvl w:val="0"/>
          <w:numId w:val="1"/>
        </w:numPr>
        <w:shd w:val="clear" w:color="auto" w:fill="FFFFFF"/>
        <w:spacing w:after="0" w:line="360" w:lineRule="auto"/>
        <w:ind w:left="360"/>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лекарства (при необходимости);</w:t>
      </w:r>
    </w:p>
    <w:p w:rsidR="00741758" w:rsidRPr="00741758" w:rsidRDefault="00741758" w:rsidP="00741758">
      <w:pPr>
        <w:numPr>
          <w:ilvl w:val="0"/>
          <w:numId w:val="1"/>
        </w:numPr>
        <w:shd w:val="clear" w:color="auto" w:fill="FFFFFF"/>
        <w:spacing w:after="0" w:line="360" w:lineRule="auto"/>
        <w:ind w:left="360"/>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 xml:space="preserve">продукты питания для дополнительного приема пищи (перекус), </w:t>
      </w:r>
      <w:proofErr w:type="spellStart"/>
      <w:r w:rsidRPr="00741758">
        <w:rPr>
          <w:rFonts w:ascii="Times New Roman" w:eastAsia="Times New Roman" w:hAnsi="Times New Roman" w:cs="Times New Roman"/>
          <w:color w:val="1A1A1A"/>
          <w:sz w:val="24"/>
          <w:szCs w:val="24"/>
        </w:rPr>
        <w:t>бутилированная</w:t>
      </w:r>
      <w:proofErr w:type="spellEnd"/>
      <w:r w:rsidRPr="00741758">
        <w:rPr>
          <w:rFonts w:ascii="Times New Roman" w:eastAsia="Times New Roman" w:hAnsi="Times New Roman" w:cs="Times New Roman"/>
          <w:color w:val="1A1A1A"/>
          <w:sz w:val="24"/>
          <w:szCs w:val="24"/>
        </w:rPr>
        <w:t xml:space="preserve">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741758" w:rsidRPr="00741758" w:rsidRDefault="00741758" w:rsidP="00741758">
      <w:pPr>
        <w:numPr>
          <w:ilvl w:val="0"/>
          <w:numId w:val="1"/>
        </w:numPr>
        <w:shd w:val="clear" w:color="auto" w:fill="FFFFFF"/>
        <w:spacing w:after="0" w:line="360" w:lineRule="auto"/>
        <w:ind w:left="360"/>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специальные технические средства (для лиц, указанных в пункте 60 </w:t>
      </w:r>
      <w:hyperlink r:id="rId5" w:history="1">
        <w:r w:rsidRPr="00741758">
          <w:rPr>
            <w:rFonts w:ascii="Times New Roman" w:eastAsia="Times New Roman" w:hAnsi="Times New Roman" w:cs="Times New Roman"/>
            <w:color w:val="0C7BCE"/>
            <w:sz w:val="24"/>
            <w:szCs w:val="24"/>
          </w:rPr>
          <w:t>Порядка</w:t>
        </w:r>
      </w:hyperlink>
      <w:r w:rsidRPr="00741758">
        <w:rPr>
          <w:rFonts w:ascii="Times New Roman" w:eastAsia="Times New Roman" w:hAnsi="Times New Roman" w:cs="Times New Roman"/>
          <w:color w:val="1A1A1A"/>
          <w:sz w:val="24"/>
          <w:szCs w:val="24"/>
        </w:rPr>
        <w:t>) (при необходимости);</w:t>
      </w:r>
    </w:p>
    <w:p w:rsidR="00741758" w:rsidRPr="00741758" w:rsidRDefault="00741758" w:rsidP="00741758">
      <w:pPr>
        <w:numPr>
          <w:ilvl w:val="0"/>
          <w:numId w:val="1"/>
        </w:numPr>
        <w:shd w:val="clear" w:color="auto" w:fill="FFFFFF"/>
        <w:spacing w:after="0" w:line="360" w:lineRule="auto"/>
        <w:ind w:left="360"/>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черновики, выданные в ППЭ.</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lastRenderedPageBreak/>
        <w:t>Иные личные вещи участники ГИА-11 должны оставить в специально выделенном до входа в ППЭ месте для хранения личных вещей участников экзаменов.</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Участник ГИА-11 занимает рабочее место согласно списку автоматизированного распределения. Изменение рабочего места не допускается.</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При раздаче комплектов экзаменационных материалов все участники ГИА-11 должны внимательно прослушать инструктаж, проводимый организаторами в аудитории.</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b/>
          <w:bCs/>
          <w:color w:val="1A1A1A"/>
          <w:spacing w:val="6"/>
          <w:sz w:val="24"/>
          <w:szCs w:val="24"/>
        </w:rPr>
        <w:t>ПРИ ЗАПОЛНЕНИИ БЛАНКА РЕГИСТРАЦИИ И БЛАНКОВ ОТВЕТОВ ВСЕ УЧАСТНИКИ ГИА-11 ДОЛЖНЫ</w:t>
      </w:r>
      <w:r w:rsidRPr="00741758">
        <w:rPr>
          <w:rFonts w:ascii="Times New Roman" w:eastAsia="Times New Roman" w:hAnsi="Times New Roman" w:cs="Times New Roman"/>
          <w:color w:val="1A1A1A"/>
          <w:sz w:val="24"/>
          <w:szCs w:val="24"/>
        </w:rPr>
        <w:t> внимательно прослушать инструктаж по заполнению регистрационных полей бланка регистрации, а также правилах заполнения бланков ответов.</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b/>
          <w:bCs/>
          <w:color w:val="1A1A1A"/>
          <w:spacing w:val="6"/>
          <w:sz w:val="24"/>
          <w:szCs w:val="24"/>
        </w:rPr>
        <w:t>ВО ВРЕМЯ ЭКЗАМЕНА УЧАСТНИКАМ ГИА-11 ЗАПРЕЩАЕТСЯ:</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Иметь при себе:</w:t>
      </w:r>
    </w:p>
    <w:p w:rsidR="00741758" w:rsidRPr="00741758" w:rsidRDefault="00741758" w:rsidP="00741758">
      <w:pPr>
        <w:numPr>
          <w:ilvl w:val="0"/>
          <w:numId w:val="2"/>
        </w:numPr>
        <w:shd w:val="clear" w:color="auto" w:fill="FFFFFF"/>
        <w:spacing w:after="0" w:line="360" w:lineRule="auto"/>
        <w:ind w:left="240"/>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уведомление о регистрации на экзамены;</w:t>
      </w:r>
    </w:p>
    <w:p w:rsidR="00741758" w:rsidRPr="00741758" w:rsidRDefault="00741758" w:rsidP="00741758">
      <w:pPr>
        <w:numPr>
          <w:ilvl w:val="0"/>
          <w:numId w:val="2"/>
        </w:numPr>
        <w:shd w:val="clear" w:color="auto" w:fill="FFFFFF"/>
        <w:spacing w:after="0" w:line="360" w:lineRule="auto"/>
        <w:ind w:left="240"/>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средства связи;</w:t>
      </w:r>
    </w:p>
    <w:p w:rsidR="00741758" w:rsidRPr="00741758" w:rsidRDefault="00741758" w:rsidP="00741758">
      <w:pPr>
        <w:numPr>
          <w:ilvl w:val="0"/>
          <w:numId w:val="2"/>
        </w:numPr>
        <w:shd w:val="clear" w:color="auto" w:fill="FFFFFF"/>
        <w:spacing w:after="0" w:line="360" w:lineRule="auto"/>
        <w:ind w:left="240"/>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электронно-вычислительную технику;</w:t>
      </w:r>
    </w:p>
    <w:p w:rsidR="00741758" w:rsidRPr="00741758" w:rsidRDefault="00741758" w:rsidP="00741758">
      <w:pPr>
        <w:numPr>
          <w:ilvl w:val="0"/>
          <w:numId w:val="2"/>
        </w:numPr>
        <w:shd w:val="clear" w:color="auto" w:fill="FFFFFF"/>
        <w:spacing w:after="0" w:line="360" w:lineRule="auto"/>
        <w:ind w:left="240"/>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фото-, аудио- и видеоаппаратуру;</w:t>
      </w:r>
    </w:p>
    <w:p w:rsidR="00741758" w:rsidRPr="00741758" w:rsidRDefault="00741758" w:rsidP="00741758">
      <w:pPr>
        <w:numPr>
          <w:ilvl w:val="0"/>
          <w:numId w:val="2"/>
        </w:numPr>
        <w:shd w:val="clear" w:color="auto" w:fill="FFFFFF"/>
        <w:spacing w:after="0" w:line="360" w:lineRule="auto"/>
        <w:ind w:left="240"/>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справочные материалы, письменные заметки и иные средства хранения и передачи информации.</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Выносить из аудиторий и ППЭ экзаменационные материалы на бумажном и (или) электронном носителях.</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Выносить из аудиторий письменные принадлежности, письменные заметки и иные средства хранения и передачи информации.</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 xml:space="preserve">Фотографировать </w:t>
      </w:r>
      <w:proofErr w:type="gramStart"/>
      <w:r w:rsidRPr="00741758">
        <w:rPr>
          <w:rFonts w:ascii="Times New Roman" w:eastAsia="Times New Roman" w:hAnsi="Times New Roman" w:cs="Times New Roman"/>
          <w:color w:val="1A1A1A"/>
          <w:sz w:val="24"/>
          <w:szCs w:val="24"/>
        </w:rPr>
        <w:t>экзаменационный</w:t>
      </w:r>
      <w:proofErr w:type="gramEnd"/>
      <w:r w:rsidRPr="00741758">
        <w:rPr>
          <w:rFonts w:ascii="Times New Roman" w:eastAsia="Times New Roman" w:hAnsi="Times New Roman" w:cs="Times New Roman"/>
          <w:color w:val="1A1A1A"/>
          <w:sz w:val="24"/>
          <w:szCs w:val="24"/>
        </w:rPr>
        <w:t xml:space="preserve"> материалы.</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Разговаривать между собой.</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Обмениваться любыми материалами и предметами с другими участниками ГИА-11.</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Переписывать задания ГИА-11 в черновики со штампом образовательной организации.</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Произвольно выходить из аудитории и перемещаться по ППЭ без сопровождения организатора вне аудитории.</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За нарушение требований и отказ от их соблюдения организаторы совместно с членами ГЭК вправе удалить участника ГИА-11 с экзамена. В этом случае организаторы совместно с членами ГЭК составляют акт об удалении участника ГИА-11 с экзамена. На бланках удаленного участника экзамена проставляется отметка о факте удаления с экзамена. Экзаменационная работа такого участника ГИА-11 </w:t>
      </w:r>
      <w:r w:rsidRPr="00741758">
        <w:rPr>
          <w:rFonts w:ascii="Times New Roman" w:eastAsia="Times New Roman" w:hAnsi="Times New Roman" w:cs="Times New Roman"/>
          <w:b/>
          <w:bCs/>
          <w:color w:val="1A1A1A"/>
          <w:spacing w:val="6"/>
          <w:sz w:val="24"/>
          <w:szCs w:val="24"/>
        </w:rPr>
        <w:t>не проверяется</w:t>
      </w:r>
      <w:r w:rsidRPr="00741758">
        <w:rPr>
          <w:rFonts w:ascii="Times New Roman" w:eastAsia="Times New Roman" w:hAnsi="Times New Roman" w:cs="Times New Roman"/>
          <w:color w:val="1A1A1A"/>
          <w:sz w:val="24"/>
          <w:szCs w:val="24"/>
        </w:rPr>
        <w:t>.</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 xml:space="preserve">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 </w:t>
      </w:r>
      <w:r w:rsidRPr="00741758">
        <w:rPr>
          <w:rFonts w:ascii="Times New Roman" w:eastAsia="Times New Roman" w:hAnsi="Times New Roman" w:cs="Times New Roman"/>
          <w:color w:val="1A1A1A"/>
          <w:sz w:val="24"/>
          <w:szCs w:val="24"/>
        </w:rPr>
        <w:lastRenderedPageBreak/>
        <w:t>При выходе из аудитории участники экзамена оставляют документ, удостоверяющий личность, экзаменационные материалы, письменные принадлежности и листы бумаги для черновиков со штампом образовательной организации, на рабочем столе, а организатор проверяет комплектность оставленных экзаменационных материалов.</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Участники экзамена, досрочно завершившие выполнение экзаменационной работы, сдают экзаменационные материалы и листы бумаги для черновиков со штампом образовательной организации организаторам, не дожидаясь завершения окончания экзамена. После сдачи всех материалов указанные участники могут покинуть ППЭ.</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r w:rsidRPr="00741758">
        <w:rPr>
          <w:rFonts w:ascii="Times New Roman" w:eastAsia="Times New Roman" w:hAnsi="Times New Roman" w:cs="Times New Roman"/>
          <w:color w:val="1A1A1A"/>
          <w:sz w:val="24"/>
          <w:szCs w:val="24"/>
        </w:rPr>
        <w:t>По истечении времени экзамена организаторы объявляют об окончании экзамена. Участники экзамена откладывают экзаменационные материалы, включая задания и листы бумаги для черновиков со штампом образовательной организации на край своего стола. Организаторы собирают экзаменационные материалы у участников экзамена. После сдачи всех материалов указанные участники покидают ППЭ.</w:t>
      </w:r>
    </w:p>
    <w:p w:rsidR="00741758" w:rsidRPr="00741758" w:rsidRDefault="00741758" w:rsidP="00741758">
      <w:pPr>
        <w:shd w:val="clear" w:color="auto" w:fill="FFFFFF"/>
        <w:spacing w:after="0" w:line="360" w:lineRule="auto"/>
        <w:jc w:val="both"/>
        <w:rPr>
          <w:rFonts w:ascii="Times New Roman" w:eastAsia="Times New Roman" w:hAnsi="Times New Roman" w:cs="Times New Roman"/>
          <w:color w:val="1A1A1A"/>
          <w:sz w:val="24"/>
          <w:szCs w:val="24"/>
        </w:rPr>
      </w:pPr>
    </w:p>
    <w:p w:rsidR="00741758" w:rsidRPr="00741758" w:rsidRDefault="00741758" w:rsidP="00741758">
      <w:pPr>
        <w:pStyle w:val="2"/>
        <w:shd w:val="clear" w:color="auto" w:fill="FFFFFF"/>
        <w:spacing w:before="0" w:beforeAutospacing="0" w:after="0" w:afterAutospacing="0" w:line="360" w:lineRule="auto"/>
        <w:jc w:val="both"/>
        <w:rPr>
          <w:b w:val="0"/>
          <w:bCs w:val="0"/>
          <w:color w:val="FF0000"/>
        </w:rPr>
      </w:pPr>
      <w:r w:rsidRPr="00741758">
        <w:rPr>
          <w:b w:val="0"/>
          <w:bCs w:val="0"/>
          <w:color w:val="FF0000"/>
        </w:rPr>
        <w:t>ПОВТОРНЫЙ ДОПУСК К ГИА-11</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1) участники ГИА, получившие на ГИА неудовлетворительный результат по одному из обязательных учебных предметов;</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2) участники экзаменов, не явившиеся на экзамен по уважительным причинам (болезнь или иные обстоятельства), подтвержденным документально;</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4) участники экзаменов, апелляции которых о нарушении Порядка апелляционной комиссией были удовлетворены;</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пунктах 66 и 67 </w:t>
      </w:r>
      <w:hyperlink r:id="rId6" w:history="1">
        <w:r w:rsidRPr="00741758">
          <w:rPr>
            <w:rStyle w:val="a5"/>
            <w:color w:val="0C7BCE"/>
          </w:rPr>
          <w:t>Порядка</w:t>
        </w:r>
      </w:hyperlink>
      <w:r w:rsidRPr="00741758">
        <w:rPr>
          <w:color w:val="1A1A1A"/>
        </w:rPr>
        <w:t>, или иными (в том числе неустановленными) лицами;</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741758" w:rsidRPr="00741758" w:rsidRDefault="00741758" w:rsidP="00741758">
      <w:pPr>
        <w:pStyle w:val="a3"/>
        <w:shd w:val="clear" w:color="auto" w:fill="FFFFFF"/>
        <w:spacing w:before="0" w:beforeAutospacing="0" w:after="0" w:afterAutospacing="0" w:line="360" w:lineRule="auto"/>
        <w:jc w:val="both"/>
        <w:rPr>
          <w:color w:val="1A1A1A"/>
        </w:rPr>
      </w:pPr>
      <w:proofErr w:type="gramStart"/>
      <w:r w:rsidRPr="00741758">
        <w:rPr>
          <w:color w:val="1A1A1A"/>
        </w:rPr>
        <w:lastRenderedPageBreak/>
        <w:t>Участники ГИА из числа лиц, указанных в подпункте 1 (т.е. участники ГИА, получившие на ГИА неудовлетворительный результат по одному из обязательных учебных предметов),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roofErr w:type="gramEnd"/>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741758" w:rsidRPr="00741758" w:rsidRDefault="00741758" w:rsidP="00741758">
      <w:pPr>
        <w:pStyle w:val="a3"/>
        <w:shd w:val="clear" w:color="auto" w:fill="FFFFFF"/>
        <w:spacing w:before="0" w:beforeAutospacing="0" w:after="0" w:afterAutospacing="0" w:line="360" w:lineRule="auto"/>
        <w:jc w:val="both"/>
        <w:rPr>
          <w:color w:val="1A1A1A"/>
        </w:rPr>
      </w:pPr>
      <w:proofErr w:type="gramStart"/>
      <w:r w:rsidRPr="00741758">
        <w:rPr>
          <w:color w:val="1A1A1A"/>
        </w:rPr>
        <w:t>В соответствии с пунктом 97(1) Порядка участники ГИА вправе </w:t>
      </w:r>
      <w:r w:rsidRPr="00741758">
        <w:rPr>
          <w:rStyle w:val="a4"/>
          <w:rFonts w:eastAsiaTheme="majorEastAsia"/>
          <w:color w:val="1A1A1A"/>
          <w:spacing w:val="6"/>
        </w:rPr>
        <w:t>в дополнительные дни </w:t>
      </w:r>
      <w:r w:rsidRPr="00741758">
        <w:rPr>
          <w:color w:val="1A1A1A"/>
        </w:rPr>
        <w:t>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roofErr w:type="gramEnd"/>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абзацем первым пункта 8 Порядка, участник ГИА вправе изменить сданный уровень ЕГЭ по математике.</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Участники ГИА, указанные в пункте 97(1) Порядка, подают в ГЭК заявления с указанием пересдаваемого учебного предмета ЕГЭ.</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В случае пересдачи участниками ГИА, указанными в абзаце втором пункта 97(1) Порядка, ЕГЭ по математике в заявлении указывается также уровень (базовый или профильный) пересдаваемого ЕГЭ по математике.</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741758" w:rsidRPr="00741758" w:rsidRDefault="00741758" w:rsidP="00741758">
      <w:pPr>
        <w:pStyle w:val="a3"/>
        <w:shd w:val="clear" w:color="auto" w:fill="FFFFFF"/>
        <w:spacing w:before="0" w:beforeAutospacing="0" w:after="0" w:afterAutospacing="0" w:line="360" w:lineRule="auto"/>
        <w:jc w:val="both"/>
        <w:rPr>
          <w:color w:val="1A1A1A"/>
          <w:sz w:val="18"/>
          <w:szCs w:val="18"/>
        </w:rPr>
      </w:pPr>
    </w:p>
    <w:p w:rsidR="00741758" w:rsidRPr="00741758" w:rsidRDefault="00741758" w:rsidP="00741758">
      <w:pPr>
        <w:pStyle w:val="2"/>
        <w:shd w:val="clear" w:color="auto" w:fill="FFFFFF"/>
        <w:spacing w:before="0" w:beforeAutospacing="0" w:after="0" w:afterAutospacing="0" w:line="360" w:lineRule="auto"/>
        <w:jc w:val="both"/>
        <w:rPr>
          <w:b w:val="0"/>
          <w:bCs w:val="0"/>
          <w:color w:val="FF0000"/>
        </w:rPr>
      </w:pPr>
      <w:r w:rsidRPr="00741758">
        <w:rPr>
          <w:b w:val="0"/>
          <w:bCs w:val="0"/>
          <w:color w:val="FF0000"/>
        </w:rPr>
        <w:t>ФОРМЫ ПРОВЕДЕНИЯ ГИА-11</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ГИА-11 имеет три формы проведения – форма единого государственного экзамена (</w:t>
      </w:r>
      <w:r w:rsidRPr="00741758">
        <w:rPr>
          <w:rStyle w:val="a4"/>
          <w:color w:val="1A1A1A"/>
          <w:spacing w:val="6"/>
        </w:rPr>
        <w:t>ЕГЭ</w:t>
      </w:r>
      <w:r w:rsidRPr="00741758">
        <w:rPr>
          <w:color w:val="1A1A1A"/>
        </w:rPr>
        <w:t>), форма государственного выпускного экзамена (</w:t>
      </w:r>
      <w:r w:rsidRPr="00741758">
        <w:rPr>
          <w:rStyle w:val="a4"/>
          <w:color w:val="1A1A1A"/>
          <w:spacing w:val="6"/>
        </w:rPr>
        <w:t>ГВЭ</w:t>
      </w:r>
      <w:r w:rsidRPr="00741758">
        <w:rPr>
          <w:color w:val="1A1A1A"/>
        </w:rPr>
        <w:t>), форма, устанавливаемая органами исполнительной власти субъектов Российской Федерации, осуществляющими государственное управление в сфере образования.</w:t>
      </w:r>
    </w:p>
    <w:p w:rsidR="00741758" w:rsidRPr="00741758" w:rsidRDefault="00741758" w:rsidP="00741758">
      <w:pPr>
        <w:pStyle w:val="a3"/>
        <w:shd w:val="clear" w:color="auto" w:fill="FFFFFF"/>
        <w:spacing w:before="0" w:beforeAutospacing="0" w:after="0" w:afterAutospacing="0" w:line="360" w:lineRule="auto"/>
        <w:jc w:val="both"/>
        <w:rPr>
          <w:color w:val="1A1A1A"/>
        </w:rPr>
      </w:pPr>
    </w:p>
    <w:p w:rsidR="00741758" w:rsidRPr="00741758" w:rsidRDefault="00741758" w:rsidP="00741758">
      <w:pPr>
        <w:pStyle w:val="2"/>
        <w:shd w:val="clear" w:color="auto" w:fill="FFFFFF"/>
        <w:spacing w:before="0" w:beforeAutospacing="0" w:after="0" w:afterAutospacing="0" w:line="360" w:lineRule="auto"/>
        <w:jc w:val="both"/>
        <w:rPr>
          <w:b w:val="0"/>
          <w:bCs w:val="0"/>
          <w:color w:val="FF0000"/>
        </w:rPr>
      </w:pPr>
      <w:r w:rsidRPr="00741758">
        <w:rPr>
          <w:b w:val="0"/>
          <w:bCs w:val="0"/>
          <w:color w:val="FF0000"/>
        </w:rPr>
        <w:lastRenderedPageBreak/>
        <w:t>ПРОВЕДЕНИЕ ГИА-11</w:t>
      </w:r>
      <w:proofErr w:type="gramStart"/>
      <w:r w:rsidRPr="00741758">
        <w:rPr>
          <w:b w:val="0"/>
          <w:bCs w:val="0"/>
          <w:color w:val="FF0000"/>
        </w:rPr>
        <w:t xml:space="preserve"> В</w:t>
      </w:r>
      <w:proofErr w:type="gramEnd"/>
      <w:r w:rsidRPr="00741758">
        <w:rPr>
          <w:b w:val="0"/>
          <w:bCs w:val="0"/>
          <w:color w:val="FF0000"/>
        </w:rPr>
        <w:t xml:space="preserve"> ФОРМЕ ГВЭ</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При проведении ГВЭ используются КИМ.</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ГВЭ проводится в письменной и устной формах. Устную форму экзамена могут выбрать по желанию участники ГВЭ с ОВЗ, участники ГВЭ – дети-инвалиды и инвалиды.</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Для участников ГВЭ ГИА-11 по отдельным учебным предметам по их желанию проводится в форме ЕГЭ. При этом допускается сочетание форм проведения ГИА-11 (ЕГЭ и ГВЭ).</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При проведении ГВЭ в устной форме устные ответы участника ГВЭ записываются средствами цифровой аудиозаписи.</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741758" w:rsidRPr="00741758" w:rsidRDefault="00741758" w:rsidP="00741758">
      <w:pPr>
        <w:pStyle w:val="3"/>
        <w:shd w:val="clear" w:color="auto" w:fill="FFFFFF"/>
        <w:spacing w:before="0" w:line="360" w:lineRule="auto"/>
        <w:jc w:val="both"/>
        <w:rPr>
          <w:rFonts w:ascii="Times New Roman" w:hAnsi="Times New Roman" w:cs="Times New Roman"/>
          <w:b w:val="0"/>
          <w:bCs w:val="0"/>
          <w:color w:val="2B2B2B"/>
          <w:sz w:val="24"/>
          <w:szCs w:val="24"/>
        </w:rPr>
      </w:pPr>
      <w:r w:rsidRPr="00741758">
        <w:rPr>
          <w:rStyle w:val="a4"/>
          <w:rFonts w:ascii="Times New Roman" w:hAnsi="Times New Roman" w:cs="Times New Roman"/>
          <w:b/>
          <w:bCs/>
          <w:color w:val="2B2B2B"/>
          <w:spacing w:val="6"/>
          <w:sz w:val="24"/>
          <w:szCs w:val="24"/>
        </w:rPr>
        <w:t>УЧАСТНИКИ ГВЭ</w:t>
      </w:r>
    </w:p>
    <w:p w:rsidR="00741758" w:rsidRPr="00741758" w:rsidRDefault="00741758" w:rsidP="00741758">
      <w:pPr>
        <w:numPr>
          <w:ilvl w:val="0"/>
          <w:numId w:val="3"/>
        </w:numPr>
        <w:shd w:val="clear" w:color="auto" w:fill="FFFFFF"/>
        <w:spacing w:after="0" w:line="360" w:lineRule="auto"/>
        <w:ind w:left="240"/>
        <w:jc w:val="both"/>
        <w:rPr>
          <w:rFonts w:ascii="Times New Roman" w:hAnsi="Times New Roman" w:cs="Times New Roman"/>
          <w:color w:val="1A1A1A"/>
          <w:sz w:val="24"/>
          <w:szCs w:val="24"/>
        </w:rPr>
      </w:pPr>
      <w:r w:rsidRPr="00741758">
        <w:rPr>
          <w:rFonts w:ascii="Times New Roman" w:hAnsi="Times New Roman" w:cs="Times New Roman"/>
          <w:color w:val="1A1A1A"/>
          <w:sz w:val="24"/>
          <w:szCs w:val="24"/>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741758" w:rsidRPr="00741758" w:rsidRDefault="00741758" w:rsidP="00741758">
      <w:pPr>
        <w:numPr>
          <w:ilvl w:val="0"/>
          <w:numId w:val="3"/>
        </w:numPr>
        <w:shd w:val="clear" w:color="auto" w:fill="FFFFFF"/>
        <w:spacing w:after="0" w:line="360" w:lineRule="auto"/>
        <w:ind w:left="240"/>
        <w:jc w:val="both"/>
        <w:rPr>
          <w:rFonts w:ascii="Times New Roman" w:hAnsi="Times New Roman" w:cs="Times New Roman"/>
          <w:color w:val="1A1A1A"/>
          <w:sz w:val="24"/>
          <w:szCs w:val="24"/>
        </w:rPr>
      </w:pPr>
      <w:r w:rsidRPr="00741758">
        <w:rPr>
          <w:rFonts w:ascii="Times New Roman" w:hAnsi="Times New Roman" w:cs="Times New Roman"/>
          <w:color w:val="1A1A1A"/>
          <w:sz w:val="24"/>
          <w:szCs w:val="24"/>
        </w:rPr>
        <w:t xml:space="preserve">обучающиеся СПО, </w:t>
      </w:r>
      <w:proofErr w:type="gramStart"/>
      <w:r w:rsidRPr="00741758">
        <w:rPr>
          <w:rFonts w:ascii="Times New Roman" w:hAnsi="Times New Roman" w:cs="Times New Roman"/>
          <w:color w:val="1A1A1A"/>
          <w:sz w:val="24"/>
          <w:szCs w:val="24"/>
        </w:rPr>
        <w:t>получающих</w:t>
      </w:r>
      <w:proofErr w:type="gramEnd"/>
      <w:r w:rsidRPr="00741758">
        <w:rPr>
          <w:rFonts w:ascii="Times New Roman" w:hAnsi="Times New Roman" w:cs="Times New Roman"/>
          <w:color w:val="1A1A1A"/>
          <w:sz w:val="24"/>
          <w:szCs w:val="24"/>
        </w:rPr>
        <w:t xml:space="preserve">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w:t>
      </w:r>
    </w:p>
    <w:p w:rsidR="00741758" w:rsidRPr="00741758" w:rsidRDefault="00741758" w:rsidP="00741758">
      <w:pPr>
        <w:numPr>
          <w:ilvl w:val="0"/>
          <w:numId w:val="3"/>
        </w:numPr>
        <w:shd w:val="clear" w:color="auto" w:fill="FFFFFF"/>
        <w:spacing w:after="0" w:line="360" w:lineRule="auto"/>
        <w:ind w:left="240"/>
        <w:jc w:val="both"/>
        <w:rPr>
          <w:rFonts w:ascii="Times New Roman" w:hAnsi="Times New Roman" w:cs="Times New Roman"/>
          <w:color w:val="1A1A1A"/>
          <w:sz w:val="24"/>
          <w:szCs w:val="24"/>
        </w:rPr>
      </w:pPr>
      <w:r w:rsidRPr="00741758">
        <w:rPr>
          <w:rFonts w:ascii="Times New Roman" w:hAnsi="Times New Roman" w:cs="Times New Roman"/>
          <w:color w:val="1A1A1A"/>
          <w:sz w:val="24"/>
          <w:szCs w:val="24"/>
        </w:rPr>
        <w:t>обучающиеся с ограниченными возможностями здоровья, экстернов с ограниченными возможностями здоровья, обучающиеся — дети-инвалиды и инвалиды, экстерны — дети-инвалиды и инвалиды.</w:t>
      </w:r>
    </w:p>
    <w:p w:rsidR="00741758" w:rsidRPr="00741758" w:rsidRDefault="00741758" w:rsidP="00741758">
      <w:pPr>
        <w:shd w:val="clear" w:color="auto" w:fill="FFFFFF"/>
        <w:spacing w:after="0" w:line="360" w:lineRule="auto"/>
        <w:ind w:left="240"/>
        <w:jc w:val="both"/>
        <w:rPr>
          <w:rFonts w:ascii="Times New Roman" w:hAnsi="Times New Roman" w:cs="Times New Roman"/>
          <w:color w:val="1A1A1A"/>
          <w:sz w:val="18"/>
          <w:szCs w:val="18"/>
        </w:rPr>
      </w:pPr>
    </w:p>
    <w:p w:rsidR="00741758" w:rsidRPr="00741758" w:rsidRDefault="00741758" w:rsidP="00741758">
      <w:pPr>
        <w:pStyle w:val="2"/>
        <w:shd w:val="clear" w:color="auto" w:fill="FFFFFF"/>
        <w:spacing w:before="0" w:beforeAutospacing="0" w:after="0" w:afterAutospacing="0" w:line="360" w:lineRule="auto"/>
        <w:jc w:val="both"/>
        <w:rPr>
          <w:b w:val="0"/>
          <w:bCs w:val="0"/>
          <w:color w:val="FF0000"/>
        </w:rPr>
      </w:pPr>
      <w:r w:rsidRPr="00741758">
        <w:rPr>
          <w:b w:val="0"/>
          <w:bCs w:val="0"/>
          <w:color w:val="FF0000"/>
        </w:rPr>
        <w:lastRenderedPageBreak/>
        <w:t>ПРОВЕДЕНИЕ ГИА-11</w:t>
      </w:r>
      <w:proofErr w:type="gramStart"/>
      <w:r w:rsidRPr="00741758">
        <w:rPr>
          <w:b w:val="0"/>
          <w:bCs w:val="0"/>
          <w:color w:val="FF0000"/>
        </w:rPr>
        <w:t xml:space="preserve"> В</w:t>
      </w:r>
      <w:proofErr w:type="gramEnd"/>
      <w:r w:rsidRPr="00741758">
        <w:rPr>
          <w:b w:val="0"/>
          <w:bCs w:val="0"/>
          <w:color w:val="FF0000"/>
        </w:rPr>
        <w:t xml:space="preserve"> ФОРМЕ ЕГЭ</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При проведении ЕГЭ используются контрольные измерительные материалы, представляющие собой комплексы заданий стандартизированной формы (КИМ), а также специальные бланки для оформления ответов на задания КИМ.</w:t>
      </w:r>
    </w:p>
    <w:p w:rsidR="00741758" w:rsidRPr="00741758" w:rsidRDefault="00741758" w:rsidP="00741758">
      <w:pPr>
        <w:pStyle w:val="3"/>
        <w:shd w:val="clear" w:color="auto" w:fill="FFFFFF"/>
        <w:spacing w:before="0" w:line="360" w:lineRule="auto"/>
        <w:jc w:val="both"/>
        <w:rPr>
          <w:rFonts w:ascii="Times New Roman" w:hAnsi="Times New Roman" w:cs="Times New Roman"/>
          <w:b w:val="0"/>
          <w:bCs w:val="0"/>
          <w:color w:val="2B2B2B"/>
          <w:sz w:val="24"/>
          <w:szCs w:val="24"/>
        </w:rPr>
      </w:pPr>
      <w:r w:rsidRPr="00741758">
        <w:rPr>
          <w:rStyle w:val="a4"/>
          <w:rFonts w:ascii="Times New Roman" w:hAnsi="Times New Roman" w:cs="Times New Roman"/>
          <w:b/>
          <w:bCs/>
          <w:color w:val="2B2B2B"/>
          <w:spacing w:val="6"/>
          <w:sz w:val="24"/>
          <w:szCs w:val="24"/>
        </w:rPr>
        <w:t>УЧАСТНИКИ ЕГЭ</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обучающиеся по образовательным программам среднего общего образования;</w:t>
      </w:r>
    </w:p>
    <w:p w:rsidR="00741758" w:rsidRPr="00741758" w:rsidRDefault="00741758" w:rsidP="00741758">
      <w:pPr>
        <w:pStyle w:val="a3"/>
        <w:shd w:val="clear" w:color="auto" w:fill="FFFFFF"/>
        <w:spacing w:before="0" w:beforeAutospacing="0" w:after="0" w:afterAutospacing="0" w:line="360" w:lineRule="auto"/>
        <w:jc w:val="both"/>
        <w:rPr>
          <w:color w:val="1A1A1A"/>
        </w:rPr>
      </w:pPr>
      <w:proofErr w:type="gramStart"/>
      <w:r w:rsidRPr="00741758">
        <w:rPr>
          <w:color w:val="1A1A1A"/>
        </w:rPr>
        <w:t xml:space="preserve">иностранные граждане, лица без гражданства, соотечественники за рубежом, беженцы и вынужденные переселенцы, освоившие образовательные программы среднего общего образования в очной, </w:t>
      </w:r>
      <w:proofErr w:type="spellStart"/>
      <w:r w:rsidRPr="00741758">
        <w:rPr>
          <w:color w:val="1A1A1A"/>
        </w:rPr>
        <w:t>очно-заочной</w:t>
      </w:r>
      <w:proofErr w:type="spellEnd"/>
      <w:r w:rsidRPr="00741758">
        <w:rPr>
          <w:color w:val="1A1A1A"/>
        </w:rPr>
        <w:t xml:space="preserve"> или заочной формах;</w:t>
      </w:r>
      <w:proofErr w:type="gramEnd"/>
    </w:p>
    <w:p w:rsidR="00741758" w:rsidRPr="00741758" w:rsidRDefault="00741758" w:rsidP="00741758">
      <w:pPr>
        <w:pStyle w:val="a3"/>
        <w:shd w:val="clear" w:color="auto" w:fill="FFFFFF"/>
        <w:spacing w:before="0" w:beforeAutospacing="0" w:after="0" w:afterAutospacing="0" w:line="360" w:lineRule="auto"/>
        <w:jc w:val="both"/>
        <w:rPr>
          <w:color w:val="1A1A1A"/>
        </w:rPr>
      </w:pPr>
      <w:proofErr w:type="gramStart"/>
      <w:r w:rsidRPr="00741758">
        <w:rPr>
          <w:color w:val="1A1A1A"/>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(в случае прохождения ГИА-11 экстерном в организации, осуществляющей образовательную деятельность</w:t>
      </w:r>
      <w:proofErr w:type="gramEnd"/>
      <w:r w:rsidRPr="00741758">
        <w:rPr>
          <w:color w:val="1A1A1A"/>
        </w:rPr>
        <w:t xml:space="preserve">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(экстерны).</w:t>
      </w:r>
    </w:p>
    <w:p w:rsidR="00741758" w:rsidRPr="00741758" w:rsidRDefault="00741758" w:rsidP="00741758">
      <w:pPr>
        <w:pStyle w:val="4"/>
        <w:shd w:val="clear" w:color="auto" w:fill="FFFFFF"/>
        <w:spacing w:before="0" w:line="360" w:lineRule="auto"/>
        <w:jc w:val="both"/>
        <w:rPr>
          <w:rFonts w:ascii="Times New Roman" w:hAnsi="Times New Roman" w:cs="Times New Roman"/>
          <w:b w:val="0"/>
          <w:bCs w:val="0"/>
          <w:caps/>
          <w:color w:val="2B2B2B"/>
          <w:sz w:val="24"/>
          <w:szCs w:val="24"/>
        </w:rPr>
      </w:pPr>
      <w:r w:rsidRPr="00741758">
        <w:rPr>
          <w:rStyle w:val="a4"/>
          <w:rFonts w:ascii="Times New Roman" w:hAnsi="Times New Roman" w:cs="Times New Roman"/>
          <w:b/>
          <w:bCs/>
          <w:caps/>
          <w:color w:val="2B2B2B"/>
          <w:spacing w:val="6"/>
          <w:sz w:val="24"/>
          <w:szCs w:val="24"/>
        </w:rPr>
        <w:t>ИМЕЮТ ПРАВО УЧАСТВОВАТЬ В ЕГЭ: </w:t>
      </w:r>
    </w:p>
    <w:p w:rsidR="00741758" w:rsidRPr="00741758" w:rsidRDefault="00741758" w:rsidP="00741758">
      <w:pPr>
        <w:numPr>
          <w:ilvl w:val="0"/>
          <w:numId w:val="4"/>
        </w:numPr>
        <w:shd w:val="clear" w:color="auto" w:fill="FFFFFF"/>
        <w:spacing w:after="0" w:line="360" w:lineRule="auto"/>
        <w:ind w:left="240"/>
        <w:jc w:val="both"/>
        <w:rPr>
          <w:rFonts w:ascii="Times New Roman" w:hAnsi="Times New Roman" w:cs="Times New Roman"/>
          <w:color w:val="1A1A1A"/>
          <w:sz w:val="24"/>
          <w:szCs w:val="24"/>
        </w:rPr>
      </w:pPr>
      <w:proofErr w:type="gramStart"/>
      <w:r w:rsidRPr="00741758">
        <w:rPr>
          <w:rFonts w:ascii="Times New Roman" w:hAnsi="Times New Roman" w:cs="Times New Roman"/>
          <w:color w:val="1A1A1A"/>
          <w:sz w:val="24"/>
          <w:szCs w:val="24"/>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w:t>
      </w:r>
      <w:proofErr w:type="gramEnd"/>
    </w:p>
    <w:p w:rsidR="00741758" w:rsidRPr="00741758" w:rsidRDefault="00741758" w:rsidP="00741758">
      <w:pPr>
        <w:numPr>
          <w:ilvl w:val="0"/>
          <w:numId w:val="4"/>
        </w:numPr>
        <w:shd w:val="clear" w:color="auto" w:fill="FFFFFF"/>
        <w:spacing w:after="0" w:line="360" w:lineRule="auto"/>
        <w:ind w:left="240"/>
        <w:jc w:val="both"/>
        <w:rPr>
          <w:rFonts w:ascii="Times New Roman" w:hAnsi="Times New Roman" w:cs="Times New Roman"/>
          <w:color w:val="1A1A1A"/>
          <w:sz w:val="24"/>
          <w:szCs w:val="24"/>
        </w:rPr>
      </w:pPr>
      <w:r w:rsidRPr="00741758">
        <w:rPr>
          <w:rFonts w:ascii="Times New Roman" w:hAnsi="Times New Roman" w:cs="Times New Roman"/>
          <w:color w:val="1A1A1A"/>
          <w:sz w:val="24"/>
          <w:szCs w:val="24"/>
        </w:rPr>
        <w:t>лица, имеющие среднее общее образование, полученное в иностранных организациях, осуществляющих образовательную деятельность; </w:t>
      </w:r>
    </w:p>
    <w:p w:rsidR="00741758" w:rsidRPr="00741758" w:rsidRDefault="00741758" w:rsidP="00741758">
      <w:pPr>
        <w:numPr>
          <w:ilvl w:val="0"/>
          <w:numId w:val="4"/>
        </w:numPr>
        <w:shd w:val="clear" w:color="auto" w:fill="FFFFFF"/>
        <w:spacing w:after="0" w:line="360" w:lineRule="auto"/>
        <w:ind w:left="240"/>
        <w:jc w:val="both"/>
        <w:rPr>
          <w:rFonts w:ascii="Times New Roman" w:hAnsi="Times New Roman" w:cs="Times New Roman"/>
          <w:color w:val="1A1A1A"/>
          <w:sz w:val="24"/>
          <w:szCs w:val="24"/>
        </w:rPr>
      </w:pPr>
      <w:r w:rsidRPr="00741758">
        <w:rPr>
          <w:rFonts w:ascii="Times New Roman" w:hAnsi="Times New Roman" w:cs="Times New Roman"/>
          <w:color w:val="1A1A1A"/>
          <w:sz w:val="24"/>
          <w:szCs w:val="24"/>
        </w:rPr>
        <w:t>обучающиеся по образовательным программам среднего профессионального образования;</w:t>
      </w:r>
    </w:p>
    <w:p w:rsidR="00741758" w:rsidRPr="00741758" w:rsidRDefault="00741758" w:rsidP="00741758">
      <w:pPr>
        <w:numPr>
          <w:ilvl w:val="0"/>
          <w:numId w:val="4"/>
        </w:numPr>
        <w:shd w:val="clear" w:color="auto" w:fill="FFFFFF"/>
        <w:spacing w:after="0" w:line="360" w:lineRule="auto"/>
        <w:ind w:left="240"/>
        <w:jc w:val="both"/>
        <w:rPr>
          <w:rFonts w:ascii="Times New Roman" w:hAnsi="Times New Roman" w:cs="Times New Roman"/>
          <w:color w:val="1A1A1A"/>
          <w:sz w:val="24"/>
          <w:szCs w:val="24"/>
        </w:rPr>
      </w:pPr>
      <w:proofErr w:type="gramStart"/>
      <w:r w:rsidRPr="00741758">
        <w:rPr>
          <w:rFonts w:ascii="Times New Roman" w:hAnsi="Times New Roman" w:cs="Times New Roman"/>
          <w:color w:val="1A1A1A"/>
          <w:sz w:val="24"/>
          <w:szCs w:val="24"/>
        </w:rPr>
        <w:t>обучающиеся</w:t>
      </w:r>
      <w:proofErr w:type="gramEnd"/>
      <w:r w:rsidRPr="00741758">
        <w:rPr>
          <w:rFonts w:ascii="Times New Roman" w:hAnsi="Times New Roman" w:cs="Times New Roman"/>
          <w:color w:val="1A1A1A"/>
          <w:sz w:val="24"/>
          <w:szCs w:val="24"/>
        </w:rPr>
        <w:t>, получающие среднее общее образование в иностранных организациях, осуществляющих образовательную деятельность.</w:t>
      </w:r>
    </w:p>
    <w:p w:rsidR="00741758" w:rsidRPr="00741758" w:rsidRDefault="00741758" w:rsidP="00741758">
      <w:pPr>
        <w:pStyle w:val="4"/>
        <w:shd w:val="clear" w:color="auto" w:fill="FFFFFF"/>
        <w:spacing w:before="0" w:line="360" w:lineRule="auto"/>
        <w:jc w:val="both"/>
        <w:rPr>
          <w:rFonts w:ascii="Times New Roman" w:hAnsi="Times New Roman" w:cs="Times New Roman"/>
          <w:b w:val="0"/>
          <w:bCs w:val="0"/>
          <w:caps/>
          <w:color w:val="2B2B2B"/>
          <w:sz w:val="24"/>
          <w:szCs w:val="24"/>
        </w:rPr>
      </w:pPr>
      <w:r w:rsidRPr="00741758">
        <w:rPr>
          <w:rStyle w:val="a4"/>
          <w:rFonts w:ascii="Times New Roman" w:hAnsi="Times New Roman" w:cs="Times New Roman"/>
          <w:b/>
          <w:bCs/>
          <w:caps/>
          <w:color w:val="2B2B2B"/>
          <w:spacing w:val="6"/>
          <w:sz w:val="24"/>
          <w:szCs w:val="24"/>
        </w:rPr>
        <w:t>ИМЕЮТ ПРАВО ДОБРОВОЛЬНО УЧАСТВОВАТЬ В ЕГЭ: </w:t>
      </w:r>
    </w:p>
    <w:p w:rsidR="00741758" w:rsidRPr="00741758" w:rsidRDefault="00741758" w:rsidP="00741758">
      <w:pPr>
        <w:numPr>
          <w:ilvl w:val="0"/>
          <w:numId w:val="5"/>
        </w:numPr>
        <w:shd w:val="clear" w:color="auto" w:fill="FFFFFF"/>
        <w:spacing w:after="0" w:line="360" w:lineRule="auto"/>
        <w:ind w:left="240"/>
        <w:jc w:val="both"/>
        <w:rPr>
          <w:rFonts w:ascii="Times New Roman" w:hAnsi="Times New Roman" w:cs="Times New Roman"/>
          <w:color w:val="1A1A1A"/>
          <w:sz w:val="24"/>
          <w:szCs w:val="24"/>
        </w:rPr>
      </w:pPr>
      <w:r w:rsidRPr="00741758">
        <w:rPr>
          <w:rFonts w:ascii="Times New Roman" w:hAnsi="Times New Roman" w:cs="Times New Roman"/>
          <w:color w:val="1A1A1A"/>
          <w:sz w:val="24"/>
          <w:szCs w:val="24"/>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741758" w:rsidRPr="00741758" w:rsidRDefault="00741758" w:rsidP="00741758">
      <w:pPr>
        <w:numPr>
          <w:ilvl w:val="0"/>
          <w:numId w:val="5"/>
        </w:numPr>
        <w:shd w:val="clear" w:color="auto" w:fill="FFFFFF"/>
        <w:spacing w:after="0" w:line="360" w:lineRule="auto"/>
        <w:ind w:left="240"/>
        <w:jc w:val="both"/>
        <w:rPr>
          <w:rFonts w:ascii="Times New Roman" w:hAnsi="Times New Roman" w:cs="Times New Roman"/>
          <w:color w:val="1A1A1A"/>
          <w:sz w:val="24"/>
          <w:szCs w:val="24"/>
        </w:rPr>
      </w:pPr>
      <w:proofErr w:type="gramStart"/>
      <w:r w:rsidRPr="00741758">
        <w:rPr>
          <w:rFonts w:ascii="Times New Roman" w:hAnsi="Times New Roman" w:cs="Times New Roman"/>
          <w:color w:val="1A1A1A"/>
          <w:sz w:val="24"/>
          <w:szCs w:val="24"/>
        </w:rPr>
        <w:lastRenderedPageBreak/>
        <w:t>обучающиеся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w:t>
      </w:r>
      <w:proofErr w:type="gramEnd"/>
    </w:p>
    <w:p w:rsidR="00741758" w:rsidRPr="00741758" w:rsidRDefault="00741758" w:rsidP="00741758">
      <w:pPr>
        <w:numPr>
          <w:ilvl w:val="0"/>
          <w:numId w:val="5"/>
        </w:numPr>
        <w:shd w:val="clear" w:color="auto" w:fill="FFFFFF"/>
        <w:spacing w:after="0" w:line="360" w:lineRule="auto"/>
        <w:ind w:left="240"/>
        <w:jc w:val="both"/>
        <w:rPr>
          <w:rFonts w:ascii="Times New Roman" w:hAnsi="Times New Roman" w:cs="Times New Roman"/>
          <w:color w:val="1A1A1A"/>
          <w:sz w:val="24"/>
          <w:szCs w:val="24"/>
        </w:rPr>
      </w:pPr>
      <w:r w:rsidRPr="00741758">
        <w:rPr>
          <w:rFonts w:ascii="Times New Roman" w:hAnsi="Times New Roman" w:cs="Times New Roman"/>
          <w:color w:val="1A1A1A"/>
          <w:sz w:val="24"/>
          <w:szCs w:val="24"/>
        </w:rPr>
        <w:t>обучающиеся с ограниченными возможностями здоровья;</w:t>
      </w:r>
    </w:p>
    <w:p w:rsidR="00741758" w:rsidRPr="00741758" w:rsidRDefault="00741758" w:rsidP="00741758">
      <w:pPr>
        <w:numPr>
          <w:ilvl w:val="0"/>
          <w:numId w:val="5"/>
        </w:numPr>
        <w:shd w:val="clear" w:color="auto" w:fill="FFFFFF"/>
        <w:spacing w:after="0" w:line="360" w:lineRule="auto"/>
        <w:ind w:left="240"/>
        <w:jc w:val="both"/>
        <w:rPr>
          <w:rFonts w:ascii="Times New Roman" w:hAnsi="Times New Roman" w:cs="Times New Roman"/>
          <w:color w:val="1A1A1A"/>
          <w:sz w:val="24"/>
          <w:szCs w:val="24"/>
        </w:rPr>
      </w:pPr>
      <w:r w:rsidRPr="00741758">
        <w:rPr>
          <w:rFonts w:ascii="Times New Roman" w:hAnsi="Times New Roman" w:cs="Times New Roman"/>
          <w:color w:val="1A1A1A"/>
          <w:sz w:val="24"/>
          <w:szCs w:val="24"/>
        </w:rPr>
        <w:t>обучающиеся – дети-инвалиды и инвалиды, осваивающие образовательные программы среднего общего образования.</w:t>
      </w:r>
    </w:p>
    <w:p w:rsidR="00741758" w:rsidRPr="00741758" w:rsidRDefault="00741758" w:rsidP="00741758">
      <w:pPr>
        <w:pStyle w:val="3"/>
        <w:shd w:val="clear" w:color="auto" w:fill="FFFFFF"/>
        <w:spacing w:before="0" w:line="360" w:lineRule="auto"/>
        <w:jc w:val="both"/>
        <w:rPr>
          <w:rFonts w:ascii="Times New Roman" w:hAnsi="Times New Roman" w:cs="Times New Roman"/>
          <w:b w:val="0"/>
          <w:bCs w:val="0"/>
          <w:color w:val="2B2B2B"/>
          <w:sz w:val="24"/>
          <w:szCs w:val="24"/>
        </w:rPr>
      </w:pPr>
      <w:r w:rsidRPr="00741758">
        <w:rPr>
          <w:rStyle w:val="a4"/>
          <w:rFonts w:ascii="Times New Roman" w:hAnsi="Times New Roman" w:cs="Times New Roman"/>
          <w:b/>
          <w:bCs/>
          <w:color w:val="2B2B2B"/>
          <w:spacing w:val="6"/>
          <w:sz w:val="24"/>
          <w:szCs w:val="24"/>
        </w:rPr>
        <w:t>ОСОБЕННОСТИ ПРОВЕДЕНИЯ ЕГЭ ПО МАТЕМАТИКЕ</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ЕГЭ по математике проводится по двум уровням:</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ЕГЭ, результаты которого признаются в качестве результатов ГИА-11 общеобразовательными организациями и профессиональными образовательными организациями (ЕГЭ по математике базового уровня);</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 xml:space="preserve">ЕГЭ, результаты которого признаются в качестве результатов ГИА-11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rsidRPr="00741758">
        <w:rPr>
          <w:color w:val="1A1A1A"/>
        </w:rPr>
        <w:t>обучение по</w:t>
      </w:r>
      <w:proofErr w:type="gramEnd"/>
      <w:r w:rsidRPr="00741758">
        <w:rPr>
          <w:color w:val="1A1A1A"/>
        </w:rPr>
        <w:t xml:space="preserve"> образовательным программам высшего образования – программам </w:t>
      </w:r>
      <w:proofErr w:type="spellStart"/>
      <w:r w:rsidRPr="00741758">
        <w:rPr>
          <w:color w:val="1A1A1A"/>
        </w:rPr>
        <w:t>бакалавриата</w:t>
      </w:r>
      <w:proofErr w:type="spellEnd"/>
      <w:r w:rsidRPr="00741758">
        <w:rPr>
          <w:color w:val="1A1A1A"/>
        </w:rPr>
        <w:t xml:space="preserve"> и программам </w:t>
      </w:r>
      <w:proofErr w:type="spellStart"/>
      <w:r w:rsidRPr="00741758">
        <w:rPr>
          <w:color w:val="1A1A1A"/>
        </w:rPr>
        <w:t>специалитета</w:t>
      </w:r>
      <w:proofErr w:type="spellEnd"/>
      <w:r w:rsidRPr="00741758">
        <w:rPr>
          <w:color w:val="1A1A1A"/>
        </w:rPr>
        <w:t xml:space="preserve"> – в образовательные организации высшего образования (ЕГЭ по математике профильного уровня).</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rStyle w:val="a4"/>
          <w:color w:val="1A1A1A"/>
          <w:spacing w:val="6"/>
        </w:rPr>
        <w:t>!</w:t>
      </w:r>
      <w:r w:rsidRPr="00741758">
        <w:rPr>
          <w:color w:val="1A1A1A"/>
        </w:rPr>
        <w:t> Участники ГИА-11,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 При наличии положительного результата ЕГЭ по русскому языку!</w:t>
      </w:r>
    </w:p>
    <w:p w:rsidR="00741758" w:rsidRPr="00741758" w:rsidRDefault="00741758" w:rsidP="00741758">
      <w:pPr>
        <w:pStyle w:val="3"/>
        <w:shd w:val="clear" w:color="auto" w:fill="FFFFFF"/>
        <w:spacing w:before="0" w:line="360" w:lineRule="auto"/>
        <w:jc w:val="both"/>
        <w:rPr>
          <w:rFonts w:ascii="Times New Roman" w:hAnsi="Times New Roman" w:cs="Times New Roman"/>
          <w:b w:val="0"/>
          <w:bCs w:val="0"/>
          <w:color w:val="2B2B2B"/>
          <w:sz w:val="24"/>
          <w:szCs w:val="24"/>
        </w:rPr>
      </w:pPr>
      <w:r w:rsidRPr="00741758">
        <w:rPr>
          <w:rStyle w:val="a4"/>
          <w:rFonts w:ascii="Times New Roman" w:hAnsi="Times New Roman" w:cs="Times New Roman"/>
          <w:b/>
          <w:bCs/>
          <w:color w:val="2B2B2B"/>
          <w:spacing w:val="6"/>
          <w:sz w:val="24"/>
          <w:szCs w:val="24"/>
        </w:rPr>
        <w:t>ОСОБЕННОСТИ ПОДАЧИ ЗАЯВЛЕНИЯ НА УЧАСТИЕ В ЕГЭ</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В заявлении об участии в ГИА-11 участники ЕГЭ указывают уровень ЕГЭ по математике (базовый </w:t>
      </w:r>
      <w:r w:rsidRPr="00741758">
        <w:rPr>
          <w:rStyle w:val="a4"/>
          <w:color w:val="1A1A1A"/>
          <w:spacing w:val="6"/>
        </w:rPr>
        <w:t>или</w:t>
      </w:r>
      <w:r w:rsidRPr="00741758">
        <w:rPr>
          <w:color w:val="1A1A1A"/>
        </w:rPr>
        <w:t> профильный).</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Лица, участвующие в ЕГЭ по желанию, подают заявления в места регистрации на сдачу ЕГЭ, определенные органами исполнительной власти субъектов Российской Федерации, осуществляющими государственное управление в сфере образования, </w:t>
      </w:r>
      <w:r w:rsidRPr="00741758">
        <w:rPr>
          <w:rStyle w:val="a4"/>
          <w:color w:val="1A1A1A"/>
          <w:spacing w:val="6"/>
        </w:rPr>
        <w:t>до 1 февраля включительно.</w:t>
      </w:r>
    </w:p>
    <w:p w:rsidR="00741758" w:rsidRPr="00741758" w:rsidRDefault="00741758" w:rsidP="00741758">
      <w:pPr>
        <w:pStyle w:val="3"/>
        <w:shd w:val="clear" w:color="auto" w:fill="FFFFFF"/>
        <w:spacing w:before="0" w:line="360" w:lineRule="auto"/>
        <w:jc w:val="both"/>
        <w:rPr>
          <w:rFonts w:ascii="Times New Roman" w:hAnsi="Times New Roman" w:cs="Times New Roman"/>
          <w:b w:val="0"/>
          <w:bCs w:val="0"/>
          <w:color w:val="2B2B2B"/>
          <w:sz w:val="24"/>
          <w:szCs w:val="24"/>
        </w:rPr>
      </w:pPr>
      <w:r w:rsidRPr="00741758">
        <w:rPr>
          <w:rStyle w:val="a4"/>
          <w:rFonts w:ascii="Times New Roman" w:hAnsi="Times New Roman" w:cs="Times New Roman"/>
          <w:b/>
          <w:bCs/>
          <w:color w:val="2B2B2B"/>
          <w:spacing w:val="6"/>
          <w:sz w:val="24"/>
          <w:szCs w:val="24"/>
        </w:rPr>
        <w:t>ЗАДАНИЯ КИМ ЕГЭ</w:t>
      </w:r>
    </w:p>
    <w:p w:rsidR="00741758" w:rsidRPr="00741758" w:rsidRDefault="00741758" w:rsidP="00741758">
      <w:pPr>
        <w:pStyle w:val="a3"/>
        <w:shd w:val="clear" w:color="auto" w:fill="FFFFFF"/>
        <w:spacing w:before="0" w:beforeAutospacing="0" w:after="0" w:afterAutospacing="0" w:line="360" w:lineRule="auto"/>
        <w:jc w:val="both"/>
        <w:rPr>
          <w:color w:val="1A1A1A"/>
        </w:rPr>
      </w:pPr>
      <w:proofErr w:type="spellStart"/>
      <w:r w:rsidRPr="00741758">
        <w:rPr>
          <w:color w:val="1A1A1A"/>
        </w:rPr>
        <w:t>Рособрнадзор</w:t>
      </w:r>
      <w:proofErr w:type="spellEnd"/>
      <w:r w:rsidRPr="00741758">
        <w:rPr>
          <w:color w:val="1A1A1A"/>
        </w:rPr>
        <w:t xml:space="preserve"> организует разработку КИМ для проведения ЕГЭ и критериев оценивания экзаменационных работ, выполненных на основе этих КИМ. КИМ разрабатываются на </w:t>
      </w:r>
      <w:r w:rsidRPr="00741758">
        <w:rPr>
          <w:color w:val="1A1A1A"/>
        </w:rPr>
        <w:lastRenderedPageBreak/>
        <w:t>основе федерального государственного образовательного стандарта среднего общего образования комиссиями по разработке КИМ по учебным предметам.</w:t>
      </w:r>
    </w:p>
    <w:p w:rsidR="00741758" w:rsidRPr="00741758" w:rsidRDefault="00741758" w:rsidP="00741758">
      <w:pPr>
        <w:pStyle w:val="a3"/>
        <w:shd w:val="clear" w:color="auto" w:fill="FFFFFF"/>
        <w:spacing w:before="0" w:beforeAutospacing="0" w:after="0" w:afterAutospacing="0" w:line="360" w:lineRule="auto"/>
        <w:jc w:val="both"/>
        <w:rPr>
          <w:color w:val="1A1A1A"/>
        </w:rPr>
      </w:pPr>
      <w:r w:rsidRPr="00741758">
        <w:rPr>
          <w:color w:val="1A1A1A"/>
        </w:rPr>
        <w:t>С документами, определяющими структуру и содержание КИМ ЕГЭ по каждому предмету, можно ознакомиться на сайте ФГБНУ «ФИПИ» </w:t>
      </w:r>
      <w:hyperlink r:id="rId7" w:history="1">
        <w:r w:rsidRPr="00741758">
          <w:rPr>
            <w:rStyle w:val="a5"/>
            <w:rFonts w:eastAsiaTheme="majorEastAsia"/>
            <w:color w:val="0C7BCE"/>
          </w:rPr>
          <w:t>по ссылке</w:t>
        </w:r>
      </w:hyperlink>
      <w:r w:rsidRPr="00741758">
        <w:rPr>
          <w:color w:val="1A1A1A"/>
        </w:rPr>
        <w:t>.</w:t>
      </w:r>
    </w:p>
    <w:p w:rsidR="008D10BA" w:rsidRPr="00741758" w:rsidRDefault="008D10BA">
      <w:pPr>
        <w:rPr>
          <w:sz w:val="24"/>
          <w:szCs w:val="24"/>
        </w:rPr>
      </w:pPr>
    </w:p>
    <w:sectPr w:rsidR="008D10BA" w:rsidRPr="007417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489"/>
    <w:multiLevelType w:val="multilevel"/>
    <w:tmpl w:val="20A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00080E"/>
    <w:multiLevelType w:val="multilevel"/>
    <w:tmpl w:val="6BC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18153D"/>
    <w:multiLevelType w:val="multilevel"/>
    <w:tmpl w:val="9F1A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E93D02"/>
    <w:multiLevelType w:val="multilevel"/>
    <w:tmpl w:val="592C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EE273C"/>
    <w:multiLevelType w:val="multilevel"/>
    <w:tmpl w:val="DF30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41758"/>
    <w:rsid w:val="00741758"/>
    <w:rsid w:val="008D1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417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74175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417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1758"/>
    <w:rPr>
      <w:rFonts w:ascii="Times New Roman" w:eastAsia="Times New Roman" w:hAnsi="Times New Roman" w:cs="Times New Roman"/>
      <w:b/>
      <w:bCs/>
      <w:sz w:val="36"/>
      <w:szCs w:val="36"/>
    </w:rPr>
  </w:style>
  <w:style w:type="paragraph" w:styleId="a3">
    <w:name w:val="Normal (Web)"/>
    <w:basedOn w:val="a"/>
    <w:uiPriority w:val="99"/>
    <w:semiHidden/>
    <w:unhideWhenUsed/>
    <w:rsid w:val="0074175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1758"/>
    <w:rPr>
      <w:b/>
      <w:bCs/>
    </w:rPr>
  </w:style>
  <w:style w:type="character" w:styleId="a5">
    <w:name w:val="Hyperlink"/>
    <w:basedOn w:val="a0"/>
    <w:uiPriority w:val="99"/>
    <w:semiHidden/>
    <w:unhideWhenUsed/>
    <w:rsid w:val="00741758"/>
    <w:rPr>
      <w:color w:val="0000FF"/>
      <w:u w:val="single"/>
    </w:rPr>
  </w:style>
  <w:style w:type="character" w:customStyle="1" w:styleId="30">
    <w:name w:val="Заголовок 3 Знак"/>
    <w:basedOn w:val="a0"/>
    <w:link w:val="3"/>
    <w:uiPriority w:val="9"/>
    <w:semiHidden/>
    <w:rsid w:val="0074175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41758"/>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20159741">
      <w:bodyDiv w:val="1"/>
      <w:marLeft w:val="0"/>
      <w:marRight w:val="0"/>
      <w:marTop w:val="0"/>
      <w:marBottom w:val="0"/>
      <w:divBdr>
        <w:top w:val="none" w:sz="0" w:space="0" w:color="auto"/>
        <w:left w:val="none" w:sz="0" w:space="0" w:color="auto"/>
        <w:bottom w:val="none" w:sz="0" w:space="0" w:color="auto"/>
        <w:right w:val="none" w:sz="0" w:space="0" w:color="auto"/>
      </w:divBdr>
      <w:divsChild>
        <w:div w:id="26640160">
          <w:marLeft w:val="0"/>
          <w:marRight w:val="0"/>
          <w:marTop w:val="0"/>
          <w:marBottom w:val="0"/>
          <w:divBdr>
            <w:top w:val="none" w:sz="0" w:space="0" w:color="auto"/>
            <w:left w:val="none" w:sz="0" w:space="0" w:color="auto"/>
            <w:bottom w:val="none" w:sz="0" w:space="0" w:color="auto"/>
            <w:right w:val="none" w:sz="0" w:space="0" w:color="auto"/>
          </w:divBdr>
        </w:div>
      </w:divsChild>
    </w:div>
    <w:div w:id="535579931">
      <w:bodyDiv w:val="1"/>
      <w:marLeft w:val="0"/>
      <w:marRight w:val="0"/>
      <w:marTop w:val="0"/>
      <w:marBottom w:val="0"/>
      <w:divBdr>
        <w:top w:val="none" w:sz="0" w:space="0" w:color="auto"/>
        <w:left w:val="none" w:sz="0" w:space="0" w:color="auto"/>
        <w:bottom w:val="none" w:sz="0" w:space="0" w:color="auto"/>
        <w:right w:val="none" w:sz="0" w:space="0" w:color="auto"/>
      </w:divBdr>
      <w:divsChild>
        <w:div w:id="865480578">
          <w:marLeft w:val="0"/>
          <w:marRight w:val="0"/>
          <w:marTop w:val="0"/>
          <w:marBottom w:val="0"/>
          <w:divBdr>
            <w:top w:val="none" w:sz="0" w:space="0" w:color="auto"/>
            <w:left w:val="none" w:sz="0" w:space="0" w:color="auto"/>
            <w:bottom w:val="none" w:sz="0" w:space="0" w:color="auto"/>
            <w:right w:val="none" w:sz="0" w:space="0" w:color="auto"/>
          </w:divBdr>
        </w:div>
      </w:divsChild>
    </w:div>
    <w:div w:id="943001595">
      <w:bodyDiv w:val="1"/>
      <w:marLeft w:val="0"/>
      <w:marRight w:val="0"/>
      <w:marTop w:val="0"/>
      <w:marBottom w:val="0"/>
      <w:divBdr>
        <w:top w:val="none" w:sz="0" w:space="0" w:color="auto"/>
        <w:left w:val="none" w:sz="0" w:space="0" w:color="auto"/>
        <w:bottom w:val="none" w:sz="0" w:space="0" w:color="auto"/>
        <w:right w:val="none" w:sz="0" w:space="0" w:color="auto"/>
      </w:divBdr>
      <w:divsChild>
        <w:div w:id="1736128504">
          <w:marLeft w:val="0"/>
          <w:marRight w:val="0"/>
          <w:marTop w:val="0"/>
          <w:marBottom w:val="0"/>
          <w:divBdr>
            <w:top w:val="none" w:sz="0" w:space="0" w:color="auto"/>
            <w:left w:val="none" w:sz="0" w:space="0" w:color="auto"/>
            <w:bottom w:val="none" w:sz="0" w:space="0" w:color="auto"/>
            <w:right w:val="none" w:sz="0" w:space="0" w:color="auto"/>
          </w:divBdr>
        </w:div>
      </w:divsChild>
    </w:div>
    <w:div w:id="1079794611">
      <w:bodyDiv w:val="1"/>
      <w:marLeft w:val="0"/>
      <w:marRight w:val="0"/>
      <w:marTop w:val="0"/>
      <w:marBottom w:val="0"/>
      <w:divBdr>
        <w:top w:val="none" w:sz="0" w:space="0" w:color="auto"/>
        <w:left w:val="none" w:sz="0" w:space="0" w:color="auto"/>
        <w:bottom w:val="none" w:sz="0" w:space="0" w:color="auto"/>
        <w:right w:val="none" w:sz="0" w:space="0" w:color="auto"/>
      </w:divBdr>
      <w:divsChild>
        <w:div w:id="286862761">
          <w:marLeft w:val="0"/>
          <w:marRight w:val="0"/>
          <w:marTop w:val="0"/>
          <w:marBottom w:val="0"/>
          <w:divBdr>
            <w:top w:val="none" w:sz="0" w:space="0" w:color="auto"/>
            <w:left w:val="none" w:sz="0" w:space="0" w:color="auto"/>
            <w:bottom w:val="none" w:sz="0" w:space="0" w:color="auto"/>
            <w:right w:val="none" w:sz="0" w:space="0" w:color="auto"/>
          </w:divBdr>
        </w:div>
      </w:divsChild>
    </w:div>
    <w:div w:id="1790780579">
      <w:bodyDiv w:val="1"/>
      <w:marLeft w:val="0"/>
      <w:marRight w:val="0"/>
      <w:marTop w:val="0"/>
      <w:marBottom w:val="0"/>
      <w:divBdr>
        <w:top w:val="none" w:sz="0" w:space="0" w:color="auto"/>
        <w:left w:val="none" w:sz="0" w:space="0" w:color="auto"/>
        <w:bottom w:val="none" w:sz="0" w:space="0" w:color="auto"/>
        <w:right w:val="none" w:sz="0" w:space="0" w:color="auto"/>
      </w:divBdr>
      <w:divsChild>
        <w:div w:id="2083284708">
          <w:marLeft w:val="0"/>
          <w:marRight w:val="0"/>
          <w:marTop w:val="0"/>
          <w:marBottom w:val="0"/>
          <w:divBdr>
            <w:top w:val="none" w:sz="0" w:space="0" w:color="auto"/>
            <w:left w:val="none" w:sz="0" w:space="0" w:color="auto"/>
            <w:bottom w:val="none" w:sz="0" w:space="0" w:color="auto"/>
            <w:right w:val="none" w:sz="0" w:space="0" w:color="auto"/>
          </w:divBdr>
        </w:div>
      </w:divsChild>
    </w:div>
    <w:div w:id="1966622812">
      <w:bodyDiv w:val="1"/>
      <w:marLeft w:val="0"/>
      <w:marRight w:val="0"/>
      <w:marTop w:val="0"/>
      <w:marBottom w:val="0"/>
      <w:divBdr>
        <w:top w:val="none" w:sz="0" w:space="0" w:color="auto"/>
        <w:left w:val="none" w:sz="0" w:space="0" w:color="auto"/>
        <w:bottom w:val="none" w:sz="0" w:space="0" w:color="auto"/>
        <w:right w:val="none" w:sz="0" w:space="0" w:color="auto"/>
      </w:divBdr>
      <w:divsChild>
        <w:div w:id="1567259556">
          <w:marLeft w:val="0"/>
          <w:marRight w:val="0"/>
          <w:marTop w:val="0"/>
          <w:marBottom w:val="0"/>
          <w:divBdr>
            <w:top w:val="none" w:sz="0" w:space="0" w:color="auto"/>
            <w:left w:val="none" w:sz="0" w:space="0" w:color="auto"/>
            <w:bottom w:val="none" w:sz="0" w:space="0" w:color="auto"/>
            <w:right w:val="none" w:sz="0" w:space="0" w:color="auto"/>
          </w:divBdr>
        </w:div>
      </w:divsChild>
    </w:div>
    <w:div w:id="1983776017">
      <w:bodyDiv w:val="1"/>
      <w:marLeft w:val="0"/>
      <w:marRight w:val="0"/>
      <w:marTop w:val="0"/>
      <w:marBottom w:val="0"/>
      <w:divBdr>
        <w:top w:val="none" w:sz="0" w:space="0" w:color="auto"/>
        <w:left w:val="none" w:sz="0" w:space="0" w:color="auto"/>
        <w:bottom w:val="none" w:sz="0" w:space="0" w:color="auto"/>
        <w:right w:val="none" w:sz="0" w:space="0" w:color="auto"/>
      </w:divBdr>
      <w:divsChild>
        <w:div w:id="1006830405">
          <w:marLeft w:val="0"/>
          <w:marRight w:val="0"/>
          <w:marTop w:val="0"/>
          <w:marBottom w:val="0"/>
          <w:divBdr>
            <w:top w:val="none" w:sz="0" w:space="0" w:color="auto"/>
            <w:left w:val="none" w:sz="0" w:space="0" w:color="auto"/>
            <w:bottom w:val="none" w:sz="0" w:space="0" w:color="auto"/>
            <w:right w:val="none" w:sz="0" w:space="0" w:color="auto"/>
          </w:divBdr>
        </w:div>
      </w:divsChild>
    </w:div>
    <w:div w:id="2039425412">
      <w:bodyDiv w:val="1"/>
      <w:marLeft w:val="0"/>
      <w:marRight w:val="0"/>
      <w:marTop w:val="0"/>
      <w:marBottom w:val="0"/>
      <w:divBdr>
        <w:top w:val="none" w:sz="0" w:space="0" w:color="auto"/>
        <w:left w:val="none" w:sz="0" w:space="0" w:color="auto"/>
        <w:bottom w:val="none" w:sz="0" w:space="0" w:color="auto"/>
        <w:right w:val="none" w:sz="0" w:space="0" w:color="auto"/>
      </w:divBdr>
      <w:divsChild>
        <w:div w:id="115306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pi.ru/ege/demoversii-specifikacii-kodifika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rnadzor.gov.ru/wp-content/uploads/2023/12/poryadok-provedeniya-gia-11.pdf" TargetMode="External"/><Relationship Id="rId5" Type="http://schemas.openxmlformats.org/officeDocument/2006/relationships/hyperlink" Target="https://obrnadzor.gov.ru/wp-content/uploads/2023/12/poryadok-provedeniya-gia-1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2615</Words>
  <Characters>14910</Characters>
  <Application>Microsoft Office Word</Application>
  <DocSecurity>0</DocSecurity>
  <Lines>124</Lines>
  <Paragraphs>34</Paragraphs>
  <ScaleCrop>false</ScaleCrop>
  <Company>SPecialiST RePack</Company>
  <LinksUpToDate>false</LinksUpToDate>
  <CharactersWithSpaces>17491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2026-01-25T09:26:00Z</dcterms:created>
  <dcterms:modified xsi:type="dcterms:W3CDTF">2026-01-25T09:30:00Z</dcterms:modified>
</cp:coreProperties>
</file>